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B44F9" w14:textId="77777777" w:rsidR="003D6459" w:rsidRPr="003D6459" w:rsidRDefault="003D6459" w:rsidP="003D6459">
      <w:pPr>
        <w:pStyle w:val="HTMLPreformatted"/>
        <w:rPr>
          <w:rFonts w:asciiTheme="minorHAnsi" w:hAnsiTheme="minorHAnsi" w:cstheme="minorHAnsi"/>
          <w:color w:val="333333"/>
          <w:sz w:val="24"/>
          <w:szCs w:val="24"/>
        </w:rPr>
      </w:pPr>
    </w:p>
    <w:p w14:paraId="3191C8A5" w14:textId="77777777" w:rsidR="003D6459" w:rsidRPr="003D6459" w:rsidRDefault="003D6459" w:rsidP="003D6459">
      <w:pPr>
        <w:rPr>
          <w:rFonts w:cstheme="minorHAnsi"/>
        </w:rPr>
      </w:pPr>
      <w:r w:rsidRPr="003D6459">
        <w:rPr>
          <w:rFonts w:cstheme="minorHAnsi"/>
        </w:rPr>
        <w:t xml:space="preserve">The </w:t>
      </w:r>
      <w:proofErr w:type="spellStart"/>
      <w:r w:rsidRPr="003D6459">
        <w:rPr>
          <w:rFonts w:cstheme="minorHAnsi"/>
        </w:rPr>
        <w:t>TaRGET</w:t>
      </w:r>
      <w:proofErr w:type="spellEnd"/>
      <w:r w:rsidRPr="003D6459">
        <w:rPr>
          <w:rFonts w:cstheme="minorHAnsi"/>
        </w:rPr>
        <w:t xml:space="preserve"> II initiative is issued as a cooperative agreement to support individual Consortium members (U01) and a Data Coordination Center (U24) to study the conservation of exposure-induced epigenetic perturbations between surrogate and disease-relevant target tissues.  </w:t>
      </w:r>
    </w:p>
    <w:p w14:paraId="40CB20A8" w14:textId="77777777" w:rsidR="003D6459" w:rsidRPr="003D6459" w:rsidRDefault="003D6459" w:rsidP="003D6459">
      <w:pPr>
        <w:rPr>
          <w:rFonts w:cstheme="minorHAnsi"/>
        </w:rPr>
      </w:pPr>
    </w:p>
    <w:p w14:paraId="4BB0A825" w14:textId="77777777" w:rsidR="003D6459" w:rsidRPr="003D6459" w:rsidRDefault="003D6459" w:rsidP="003D6459">
      <w:pPr>
        <w:rPr>
          <w:rFonts w:cstheme="minorHAnsi"/>
        </w:rPr>
      </w:pPr>
      <w:r w:rsidRPr="003D6459">
        <w:rPr>
          <w:rFonts w:cstheme="minorHAnsi"/>
        </w:rPr>
        <w:t>The purpose of this program is to characterize the epigenetic changes that are induced by environmental exposures in a variety of tissues and cell types, to investigate the factors, such as the timing of exposure, that influence whether induced changes are conserved across tissues, and to assess the utility of surrogate cell types for epigenetic analyses in environmental health research. This Consortium will explore the conservation of epigenomic perturbations across target tissues/cells and surrogate tissues/cells using mouse models of environmentally relevant diseases.</w:t>
      </w:r>
    </w:p>
    <w:p w14:paraId="4C0D7982" w14:textId="77777777" w:rsidR="003D6459" w:rsidRPr="003D6459" w:rsidRDefault="003D6459" w:rsidP="003D6459">
      <w:pPr>
        <w:rPr>
          <w:rStyle w:val="regulartext1"/>
          <w:rFonts w:asciiTheme="minorHAnsi" w:hAnsiTheme="minorHAnsi" w:cstheme="minorHAnsi"/>
        </w:rPr>
      </w:pPr>
    </w:p>
    <w:p w14:paraId="2DDC8669" w14:textId="577203ED" w:rsidR="003D6459" w:rsidRPr="003D6459" w:rsidRDefault="003D6459" w:rsidP="003D6459">
      <w:pPr>
        <w:rPr>
          <w:rStyle w:val="regulartext1"/>
          <w:rFonts w:asciiTheme="minorHAnsi" w:hAnsiTheme="minorHAnsi" w:cstheme="minorHAnsi"/>
        </w:rPr>
      </w:pPr>
      <w:r w:rsidRPr="003D6459">
        <w:rPr>
          <w:rStyle w:val="regulartext1"/>
          <w:rFonts w:asciiTheme="minorHAnsi" w:hAnsiTheme="minorHAnsi" w:cstheme="minorHAnsi"/>
        </w:rPr>
        <w:t xml:space="preserve">In 2016, NIEHS awarded six cooperative agreements for the </w:t>
      </w:r>
      <w:proofErr w:type="spellStart"/>
      <w:r w:rsidRPr="003D6459">
        <w:rPr>
          <w:rStyle w:val="regulartext1"/>
          <w:rFonts w:asciiTheme="minorHAnsi" w:hAnsiTheme="minorHAnsi" w:cstheme="minorHAnsi"/>
        </w:rPr>
        <w:t>TaRGET</w:t>
      </w:r>
      <w:proofErr w:type="spellEnd"/>
      <w:r w:rsidRPr="003D6459">
        <w:rPr>
          <w:rStyle w:val="regulartext1"/>
          <w:rFonts w:asciiTheme="minorHAnsi" w:hAnsiTheme="minorHAnsi" w:cstheme="minorHAnsi"/>
        </w:rPr>
        <w:t xml:space="preserve"> II Consortium (T2C) Program, consisting of five </w:t>
      </w:r>
      <w:proofErr w:type="spellStart"/>
      <w:r w:rsidRPr="003D6459">
        <w:rPr>
          <w:rStyle w:val="regulartext1"/>
          <w:rFonts w:asciiTheme="minorHAnsi" w:hAnsiTheme="minorHAnsi" w:cstheme="minorHAnsi"/>
        </w:rPr>
        <w:t>TaRGET</w:t>
      </w:r>
      <w:proofErr w:type="spellEnd"/>
      <w:r w:rsidRPr="003D6459">
        <w:rPr>
          <w:rStyle w:val="regulartext1"/>
          <w:rFonts w:asciiTheme="minorHAnsi" w:hAnsiTheme="minorHAnsi" w:cstheme="minorHAnsi"/>
        </w:rPr>
        <w:t xml:space="preserve"> II individual Consortium members (U01) and one Data Coordination Center (U24). The U01 awards went to: Johns Hopkins University / Case Western Reserve University (</w:t>
      </w:r>
      <w:proofErr w:type="spellStart"/>
      <w:r w:rsidRPr="003D6459">
        <w:rPr>
          <w:rStyle w:val="regulartext1"/>
          <w:rFonts w:asciiTheme="minorHAnsi" w:hAnsiTheme="minorHAnsi" w:cstheme="minorHAnsi"/>
        </w:rPr>
        <w:t>Shyam</w:t>
      </w:r>
      <w:proofErr w:type="spellEnd"/>
      <w:r w:rsidRPr="003D6459">
        <w:rPr>
          <w:rStyle w:val="regulartext1"/>
          <w:rFonts w:asciiTheme="minorHAnsi" w:hAnsiTheme="minorHAnsi" w:cstheme="minorHAnsi"/>
        </w:rPr>
        <w:t xml:space="preserve"> Biswal / Sanjay Rajagopalan, PIs); North Carolina State University (David </w:t>
      </w:r>
      <w:proofErr w:type="spellStart"/>
      <w:r w:rsidRPr="003D6459">
        <w:rPr>
          <w:rStyle w:val="regulartext1"/>
          <w:rFonts w:asciiTheme="minorHAnsi" w:hAnsiTheme="minorHAnsi" w:cstheme="minorHAnsi"/>
        </w:rPr>
        <w:t>Aylor</w:t>
      </w:r>
      <w:proofErr w:type="spellEnd"/>
      <w:r w:rsidRPr="003D6459">
        <w:rPr>
          <w:rStyle w:val="regulartext1"/>
          <w:rFonts w:asciiTheme="minorHAnsi" w:hAnsiTheme="minorHAnsi" w:cstheme="minorHAnsi"/>
        </w:rPr>
        <w:t xml:space="preserve">, PI); Baylor College of Medicine / University of Pennsylvania (Cheryl Walker / Marisa </w:t>
      </w:r>
      <w:proofErr w:type="spellStart"/>
      <w:r w:rsidRPr="003D6459">
        <w:rPr>
          <w:rStyle w:val="regulartext1"/>
          <w:rFonts w:asciiTheme="minorHAnsi" w:hAnsiTheme="minorHAnsi" w:cstheme="minorHAnsi"/>
        </w:rPr>
        <w:t>Bartolomei</w:t>
      </w:r>
      <w:proofErr w:type="spellEnd"/>
      <w:r w:rsidRPr="003D6459">
        <w:rPr>
          <w:rStyle w:val="regulartext1"/>
          <w:rFonts w:asciiTheme="minorHAnsi" w:hAnsiTheme="minorHAnsi" w:cstheme="minorHAnsi"/>
        </w:rPr>
        <w:t>, PIs); The University of Chicago (</w:t>
      </w:r>
      <w:proofErr w:type="spellStart"/>
      <w:r w:rsidRPr="003D6459">
        <w:rPr>
          <w:rStyle w:val="regulartext1"/>
          <w:rFonts w:asciiTheme="minorHAnsi" w:hAnsiTheme="minorHAnsi" w:cstheme="minorHAnsi"/>
        </w:rPr>
        <w:t>Gokhan</w:t>
      </w:r>
      <w:proofErr w:type="spellEnd"/>
      <w:r w:rsidRPr="003D6459">
        <w:rPr>
          <w:rStyle w:val="regulartext1"/>
          <w:rFonts w:asciiTheme="minorHAnsi" w:hAnsiTheme="minorHAnsi" w:cstheme="minorHAnsi"/>
        </w:rPr>
        <w:t xml:space="preserve"> </w:t>
      </w:r>
      <w:proofErr w:type="spellStart"/>
      <w:r w:rsidRPr="003D6459">
        <w:rPr>
          <w:rStyle w:val="regulartext1"/>
          <w:rFonts w:asciiTheme="minorHAnsi" w:hAnsiTheme="minorHAnsi" w:cstheme="minorHAnsi"/>
        </w:rPr>
        <w:t>Mutlu</w:t>
      </w:r>
      <w:proofErr w:type="spellEnd"/>
      <w:r w:rsidRPr="003D6459">
        <w:rPr>
          <w:rStyle w:val="regulartext1"/>
          <w:rFonts w:asciiTheme="minorHAnsi" w:hAnsiTheme="minorHAnsi" w:cstheme="minorHAnsi"/>
        </w:rPr>
        <w:t xml:space="preserve">, PI); and University of Michigan (Dana </w:t>
      </w:r>
      <w:proofErr w:type="spellStart"/>
      <w:r w:rsidRPr="003D6459">
        <w:rPr>
          <w:rStyle w:val="regulartext1"/>
          <w:rFonts w:asciiTheme="minorHAnsi" w:hAnsiTheme="minorHAnsi" w:cstheme="minorHAnsi"/>
        </w:rPr>
        <w:t>Dolinoy</w:t>
      </w:r>
      <w:proofErr w:type="spellEnd"/>
      <w:r w:rsidRPr="003D6459">
        <w:rPr>
          <w:rStyle w:val="regulartext1"/>
          <w:rFonts w:asciiTheme="minorHAnsi" w:hAnsiTheme="minorHAnsi" w:cstheme="minorHAnsi"/>
        </w:rPr>
        <w:t>, PI). The U24 was awarded to Washington University in Saint Louis (Ting Wang, PI).</w:t>
      </w:r>
    </w:p>
    <w:p w14:paraId="001D36CD" w14:textId="77777777" w:rsidR="003D6459" w:rsidRPr="003D6459" w:rsidRDefault="003D6459" w:rsidP="003D6459">
      <w:pPr>
        <w:rPr>
          <w:rFonts w:cstheme="minorHAnsi"/>
        </w:rPr>
      </w:pPr>
    </w:p>
    <w:p w14:paraId="03CEA6DE" w14:textId="77777777" w:rsidR="003D6459" w:rsidRPr="003D6459" w:rsidRDefault="003D6459" w:rsidP="003D6459">
      <w:pPr>
        <w:rPr>
          <w:rFonts w:cstheme="minorHAnsi"/>
        </w:rPr>
      </w:pPr>
      <w:bookmarkStart w:id="0" w:name="_Toc40169609"/>
      <w:bookmarkStart w:id="1" w:name="_Toc40249163"/>
      <w:bookmarkStart w:id="2" w:name="_Toc40249780"/>
      <w:bookmarkStart w:id="3" w:name="_Toc40250027"/>
      <w:bookmarkStart w:id="4" w:name="_Toc40250274"/>
      <w:r w:rsidRPr="003D6459">
        <w:rPr>
          <w:rFonts w:cstheme="minorHAnsi"/>
        </w:rPr>
        <w:t xml:space="preserve">The data generated will serve as a resource and be utilized by the scientific community to enhance understanding of exposure-related disease mechanisms and to aid in the evaluation of epigenomic changes in surrogates that may serve as potential biomarkers of exposure-associated pathologies.  Ultimately, the </w:t>
      </w:r>
      <w:proofErr w:type="spellStart"/>
      <w:r w:rsidRPr="003D6459">
        <w:rPr>
          <w:rFonts w:cstheme="minorHAnsi"/>
        </w:rPr>
        <w:t>TaRGET</w:t>
      </w:r>
      <w:proofErr w:type="spellEnd"/>
      <w:r w:rsidRPr="003D6459">
        <w:rPr>
          <w:rFonts w:cstheme="minorHAnsi"/>
        </w:rPr>
        <w:t xml:space="preserve"> II program will provide insights into the design and interpretation of human studies where target tissues are inaccessible.</w:t>
      </w:r>
    </w:p>
    <w:p w14:paraId="29E446A6" w14:textId="77777777" w:rsidR="003D6459" w:rsidRPr="003D6459" w:rsidRDefault="003D6459" w:rsidP="003D6459">
      <w:pPr>
        <w:rPr>
          <w:rFonts w:cstheme="minorHAnsi"/>
        </w:rPr>
      </w:pPr>
    </w:p>
    <w:p w14:paraId="706145BD" w14:textId="50C1D8AE" w:rsidR="003D6459" w:rsidRPr="003D6459" w:rsidRDefault="003D6459" w:rsidP="003D6459">
      <w:pPr>
        <w:shd w:val="clear" w:color="auto" w:fill="FFFFFF"/>
        <w:spacing w:before="100" w:beforeAutospacing="1" w:after="240"/>
        <w:rPr>
          <w:rFonts w:eastAsia="Times New Roman" w:cstheme="minorHAnsi"/>
          <w:color w:val="000000"/>
        </w:rPr>
      </w:pPr>
      <w:r w:rsidRPr="003D6459">
        <w:rPr>
          <w:rFonts w:cstheme="minorHAnsi"/>
          <w:noProof/>
        </w:rPr>
        <w:t>More information on the program can be found in</w:t>
      </w:r>
      <w:r w:rsidRPr="003D6459">
        <w:rPr>
          <w:rFonts w:cstheme="minorHAnsi"/>
        </w:rPr>
        <w:t xml:space="preserve"> </w:t>
      </w:r>
      <w:r w:rsidRPr="003D6459">
        <w:rPr>
          <w:rFonts w:cstheme="minorHAnsi"/>
          <w:noProof/>
        </w:rPr>
        <w:t xml:space="preserve">the RFA announcements, </w:t>
      </w:r>
      <w:r w:rsidRPr="003D6459">
        <w:rPr>
          <w:rStyle w:val="addtitle11"/>
          <w:rFonts w:asciiTheme="minorHAnsi" w:hAnsiTheme="minorHAnsi" w:cstheme="minorHAnsi"/>
          <w:spacing w:val="3"/>
          <w:sz w:val="24"/>
          <w:szCs w:val="24"/>
        </w:rPr>
        <w:t>RFA-ES-15-001 and RFA ES-015-002</w:t>
      </w:r>
      <w:r w:rsidRPr="003D6459">
        <w:rPr>
          <w:rFonts w:cstheme="minorHAnsi"/>
        </w:rPr>
        <w:t>.</w:t>
      </w:r>
      <w:bookmarkEnd w:id="0"/>
      <w:bookmarkEnd w:id="1"/>
      <w:bookmarkEnd w:id="2"/>
      <w:bookmarkEnd w:id="3"/>
      <w:bookmarkEnd w:id="4"/>
      <w:r w:rsidRPr="003D6459">
        <w:rPr>
          <w:rFonts w:eastAsia="Times New Roman" w:cstheme="minorHAnsi"/>
          <w:color w:val="000000"/>
        </w:rPr>
        <w:t xml:space="preserve"> For guidelines on how to cite </w:t>
      </w:r>
      <w:proofErr w:type="spellStart"/>
      <w:r>
        <w:rPr>
          <w:rFonts w:eastAsia="Times New Roman" w:cstheme="minorHAnsi"/>
          <w:color w:val="000000"/>
        </w:rPr>
        <w:t>TaRGET</w:t>
      </w:r>
      <w:proofErr w:type="spellEnd"/>
      <w:r>
        <w:rPr>
          <w:rFonts w:eastAsia="Times New Roman" w:cstheme="minorHAnsi"/>
          <w:color w:val="000000"/>
        </w:rPr>
        <w:t xml:space="preserve"> II</w:t>
      </w:r>
      <w:r w:rsidRPr="003D6459">
        <w:rPr>
          <w:rFonts w:eastAsia="Times New Roman" w:cstheme="minorHAnsi"/>
          <w:color w:val="000000"/>
        </w:rPr>
        <w:t xml:space="preserve"> data in your publications, please visit the </w:t>
      </w:r>
      <w:r w:rsidRPr="003D6459">
        <w:rPr>
          <w:rFonts w:eastAsia="Times New Roman" w:cstheme="minorHAnsi"/>
          <w:color w:val="428BCA"/>
          <w:u w:val="single"/>
        </w:rPr>
        <w:t xml:space="preserve">Citing </w:t>
      </w:r>
      <w:proofErr w:type="spellStart"/>
      <w:r>
        <w:rPr>
          <w:rFonts w:eastAsia="Times New Roman" w:cstheme="minorHAnsi"/>
          <w:color w:val="428BCA"/>
          <w:u w:val="single"/>
        </w:rPr>
        <w:t>TaRGET</w:t>
      </w:r>
      <w:proofErr w:type="spellEnd"/>
      <w:r w:rsidRPr="003D6459">
        <w:rPr>
          <w:rFonts w:eastAsia="Times New Roman" w:cstheme="minorHAnsi"/>
          <w:color w:val="000000"/>
        </w:rPr>
        <w:t> page.</w:t>
      </w:r>
    </w:p>
    <w:p w14:paraId="10879D1E" w14:textId="37A2789B" w:rsidR="003D6459" w:rsidRPr="003D6459" w:rsidRDefault="003D6459" w:rsidP="003D6459">
      <w:pPr>
        <w:shd w:val="clear" w:color="auto" w:fill="FFFFFF"/>
        <w:spacing w:before="100" w:beforeAutospacing="1" w:after="240"/>
        <w:rPr>
          <w:rFonts w:ascii="Helvetica Neue" w:eastAsia="Times New Roman" w:hAnsi="Helvetica Neue" w:cs="Times New Roman"/>
          <w:color w:val="000000"/>
          <w:sz w:val="21"/>
          <w:szCs w:val="21"/>
        </w:rPr>
      </w:pPr>
      <w:r w:rsidRPr="003D6459">
        <w:rPr>
          <w:rFonts w:ascii="Helvetica Neue" w:eastAsia="Times New Roman" w:hAnsi="Helvetica Neue" w:cs="Times New Roman"/>
          <w:color w:val="000000"/>
          <w:sz w:val="21"/>
          <w:szCs w:val="21"/>
        </w:rPr>
        <w:t> </w:t>
      </w:r>
      <w:r w:rsidRPr="003D6459">
        <w:rPr>
          <w:rFonts w:ascii="Helvetica Neue" w:eastAsia="Times New Roman" w:hAnsi="Helvetica Neue" w:cs="Times New Roman"/>
          <w:b/>
          <w:bCs/>
          <w:color w:val="000000"/>
        </w:rPr>
        <w:t> </w:t>
      </w:r>
    </w:p>
    <w:p w14:paraId="3F85E344" w14:textId="77777777" w:rsidR="00D004B2" w:rsidRPr="00F07AE1" w:rsidRDefault="00D004B2" w:rsidP="00D004B2">
      <w:pPr>
        <w:pStyle w:val="Heading1"/>
      </w:pPr>
      <w:bookmarkStart w:id="5" w:name="_Toc499543439"/>
      <w:r>
        <w:t>DATA RELEASE Policies</w:t>
      </w:r>
      <w:bookmarkEnd w:id="5"/>
      <w:r>
        <w:t xml:space="preserve"> </w:t>
      </w:r>
    </w:p>
    <w:p w14:paraId="0E6C8B83" w14:textId="77777777" w:rsidR="00D004B2" w:rsidRDefault="00D004B2" w:rsidP="00D004B2">
      <w:pPr>
        <w:rPr>
          <w:rStyle w:val="regulartext1"/>
          <w:b/>
          <w:caps/>
        </w:rPr>
      </w:pPr>
    </w:p>
    <w:p w14:paraId="7530D1F7" w14:textId="77777777" w:rsidR="00D004B2" w:rsidRPr="006B54C7" w:rsidRDefault="00D004B2" w:rsidP="00D004B2">
      <w:pPr>
        <w:rPr>
          <w:rStyle w:val="regulartext1"/>
        </w:rPr>
      </w:pPr>
      <w:r w:rsidRPr="00084B30">
        <w:rPr>
          <w:rFonts w:ascii="Times New Roman" w:hAnsi="Times New Roman"/>
        </w:rPr>
        <w:t xml:space="preserve">NIEHS expects that the major resources resulting from this project, including data, software, and analyses, generated by the </w:t>
      </w:r>
      <w:r>
        <w:rPr>
          <w:rFonts w:ascii="Times New Roman" w:hAnsi="Times New Roman"/>
        </w:rPr>
        <w:t>T2C</w:t>
      </w:r>
      <w:r w:rsidRPr="00084B30">
        <w:rPr>
          <w:rFonts w:ascii="Times New Roman" w:hAnsi="Times New Roman"/>
        </w:rPr>
        <w:t xml:space="preserve"> will be made freely available to the research community.</w:t>
      </w:r>
      <w:r>
        <w:rPr>
          <w:rFonts w:ascii="Times New Roman" w:hAnsi="Times New Roman"/>
        </w:rPr>
        <w:t xml:space="preserve"> The data release policies are</w:t>
      </w:r>
      <w:r w:rsidRPr="00CD008B">
        <w:rPr>
          <w:rFonts w:ascii="Times New Roman" w:hAnsi="Times New Roman"/>
        </w:rPr>
        <w:t xml:space="preserve"> intended </w:t>
      </w:r>
      <w:r w:rsidRPr="0021302E">
        <w:rPr>
          <w:rFonts w:ascii="Times New Roman" w:hAnsi="Times New Roman"/>
        </w:rPr>
        <w:t xml:space="preserve">to ensure deposition of data in public databases as soon as possible after data </w:t>
      </w:r>
      <w:r>
        <w:rPr>
          <w:rFonts w:ascii="Times New Roman" w:hAnsi="Times New Roman"/>
        </w:rPr>
        <w:t xml:space="preserve">are deemed to be </w:t>
      </w:r>
      <w:r>
        <w:rPr>
          <w:rStyle w:val="regulartext1"/>
          <w:rFonts w:ascii="Times New Roman" w:hAnsi="Times New Roman" w:cs="Times New Roman"/>
        </w:rPr>
        <w:t xml:space="preserve">highly reproducible or otherwise </w:t>
      </w:r>
      <w:r w:rsidRPr="00CD008B">
        <w:rPr>
          <w:rStyle w:val="regulartext1"/>
          <w:rFonts w:ascii="Times New Roman" w:hAnsi="Times New Roman" w:cs="Times New Roman"/>
        </w:rPr>
        <w:t xml:space="preserve">reliable </w:t>
      </w:r>
      <w:r>
        <w:rPr>
          <w:rStyle w:val="regulartext1"/>
          <w:rFonts w:ascii="Times New Roman" w:hAnsi="Times New Roman" w:cs="Times New Roman"/>
        </w:rPr>
        <w:t>by the data producers. To maximize the utility of data for downstream users, t</w:t>
      </w:r>
      <w:r w:rsidRPr="00CD008B">
        <w:rPr>
          <w:rStyle w:val="regulartext1"/>
          <w:rFonts w:ascii="Times New Roman" w:hAnsi="Times New Roman" w:cs="Times New Roman"/>
        </w:rPr>
        <w:t xml:space="preserve">he </w:t>
      </w:r>
      <w:r>
        <w:rPr>
          <w:rStyle w:val="regulartext1"/>
          <w:rFonts w:ascii="Times New Roman" w:hAnsi="Times New Roman" w:cs="Times New Roman"/>
        </w:rPr>
        <w:t xml:space="preserve">T2C has adopted the </w:t>
      </w:r>
      <w:r w:rsidRPr="00CD008B">
        <w:rPr>
          <w:rStyle w:val="regulartext1"/>
          <w:rFonts w:ascii="Times New Roman" w:hAnsi="Times New Roman" w:cs="Times New Roman"/>
        </w:rPr>
        <w:t xml:space="preserve">following </w:t>
      </w:r>
      <w:r>
        <w:rPr>
          <w:rStyle w:val="regulartext1"/>
          <w:rFonts w:ascii="Times New Roman" w:hAnsi="Times New Roman" w:cs="Times New Roman"/>
        </w:rPr>
        <w:t xml:space="preserve">as cornerstones of its </w:t>
      </w:r>
      <w:r w:rsidRPr="00CD008B">
        <w:rPr>
          <w:rStyle w:val="regulartext1"/>
          <w:rFonts w:ascii="Times New Roman" w:hAnsi="Times New Roman" w:cs="Times New Roman"/>
        </w:rPr>
        <w:t>data release polic</w:t>
      </w:r>
      <w:r>
        <w:rPr>
          <w:rStyle w:val="regulartext1"/>
          <w:rFonts w:ascii="Times New Roman" w:hAnsi="Times New Roman" w:cs="Times New Roman"/>
        </w:rPr>
        <w:t>y</w:t>
      </w:r>
      <w:r w:rsidRPr="00CD008B">
        <w:rPr>
          <w:rStyle w:val="regulartext1"/>
          <w:rFonts w:ascii="Times New Roman" w:hAnsi="Times New Roman" w:cs="Times New Roman"/>
        </w:rPr>
        <w:t>:</w:t>
      </w:r>
    </w:p>
    <w:p w14:paraId="6CF3E577" w14:textId="77777777" w:rsidR="00D004B2" w:rsidRDefault="00D004B2" w:rsidP="00D004B2">
      <w:pPr>
        <w:ind w:left="720"/>
        <w:rPr>
          <w:rStyle w:val="regulartext1"/>
        </w:rPr>
      </w:pPr>
    </w:p>
    <w:p w14:paraId="63B7066E" w14:textId="77777777" w:rsidR="00D004B2" w:rsidRDefault="00D004B2" w:rsidP="00D004B2">
      <w:pPr>
        <w:numPr>
          <w:ilvl w:val="0"/>
          <w:numId w:val="2"/>
        </w:numPr>
        <w:spacing w:after="120"/>
        <w:rPr>
          <w:rStyle w:val="regulartext1"/>
        </w:rPr>
      </w:pPr>
      <w:r>
        <w:rPr>
          <w:rStyle w:val="regulartext1"/>
          <w:rFonts w:ascii="Times New Roman" w:hAnsi="Times New Roman" w:cs="Times New Roman"/>
        </w:rPr>
        <w:lastRenderedPageBreak/>
        <w:t>As data are generated, data producers</w:t>
      </w:r>
      <w:r>
        <w:rPr>
          <w:rFonts w:ascii="Times New Roman" w:hAnsi="Times New Roman"/>
        </w:rPr>
        <w:t xml:space="preserve"> will submit primary data </w:t>
      </w:r>
      <w:r w:rsidRPr="00CD008B">
        <w:rPr>
          <w:rStyle w:val="regulartext1"/>
          <w:rFonts w:ascii="Times New Roman" w:hAnsi="Times New Roman" w:cs="Times New Roman"/>
        </w:rPr>
        <w:t xml:space="preserve">in the form of </w:t>
      </w:r>
      <w:r>
        <w:rPr>
          <w:rStyle w:val="regulartext1"/>
          <w:rFonts w:ascii="Times New Roman" w:hAnsi="Times New Roman" w:cs="Times New Roman"/>
        </w:rPr>
        <w:t xml:space="preserve">raw </w:t>
      </w:r>
      <w:r w:rsidRPr="00CD008B">
        <w:rPr>
          <w:rStyle w:val="regulartext1"/>
          <w:rFonts w:ascii="Times New Roman" w:hAnsi="Times New Roman" w:cs="Times New Roman"/>
        </w:rPr>
        <w:t>sequencing reads</w:t>
      </w:r>
      <w:r>
        <w:rPr>
          <w:rStyle w:val="regulartext1"/>
          <w:rFonts w:ascii="Times New Roman" w:hAnsi="Times New Roman" w:cs="Times New Roman"/>
        </w:rPr>
        <w:t xml:space="preserve">, together with agreed-upon metadata, to the DCC. </w:t>
      </w:r>
    </w:p>
    <w:p w14:paraId="7F7EA211" w14:textId="77777777" w:rsidR="00D004B2" w:rsidRPr="00656060" w:rsidRDefault="00D004B2" w:rsidP="00D004B2">
      <w:pPr>
        <w:numPr>
          <w:ilvl w:val="0"/>
          <w:numId w:val="2"/>
        </w:numPr>
        <w:spacing w:after="120"/>
        <w:rPr>
          <w:rFonts w:cs="Arial"/>
          <w:color w:val="000000"/>
        </w:rPr>
      </w:pPr>
      <w:r>
        <w:rPr>
          <w:rStyle w:val="regulartext1"/>
          <w:rFonts w:ascii="Times New Roman" w:hAnsi="Times New Roman" w:cs="Times New Roman"/>
        </w:rPr>
        <w:t>The SC will establish data and metadata standards for each data type generated by the T2C.</w:t>
      </w:r>
      <w:r w:rsidRPr="00CD008B" w:rsidDel="008D3471">
        <w:rPr>
          <w:rStyle w:val="regulartext1"/>
          <w:rFonts w:ascii="Times New Roman" w:hAnsi="Times New Roman" w:cs="Times New Roman"/>
        </w:rPr>
        <w:t xml:space="preserve"> </w:t>
      </w:r>
      <w:r>
        <w:rPr>
          <w:rStyle w:val="regulartext1"/>
          <w:rFonts w:ascii="Times New Roman" w:hAnsi="Times New Roman" w:cs="Times New Roman"/>
        </w:rPr>
        <w:t>T</w:t>
      </w:r>
      <w:r>
        <w:rPr>
          <w:rFonts w:ascii="Times New Roman" w:hAnsi="Times New Roman"/>
        </w:rPr>
        <w:t xml:space="preserve">he DCC will ensure compliance with agreed-upon standards for each data type prior to public release and will work with data producers to rectify any deficiencies.  </w:t>
      </w:r>
    </w:p>
    <w:p w14:paraId="381C6CE6" w14:textId="77777777" w:rsidR="00D004B2" w:rsidRPr="002B4EEA" w:rsidRDefault="00D004B2" w:rsidP="00D004B2">
      <w:pPr>
        <w:numPr>
          <w:ilvl w:val="0"/>
          <w:numId w:val="2"/>
        </w:numPr>
        <w:spacing w:after="120"/>
        <w:rPr>
          <w:rStyle w:val="regulartext1"/>
        </w:rPr>
      </w:pPr>
      <w:bookmarkStart w:id="6" w:name="_Hlk503943416"/>
      <w:r>
        <w:rPr>
          <w:rStyle w:val="regulartext1"/>
          <w:rFonts w:ascii="Times New Roman" w:hAnsi="Times New Roman" w:cs="Times New Roman"/>
        </w:rPr>
        <w:t>As soon as study data are verified to pass Consortium quality standards, files will be submitted to the NCBI Gene Expression Omnibus (GEO) and the NCBI Sequence Read Archive (SRA) for immediate public release without restrictions</w:t>
      </w:r>
      <w:bookmarkEnd w:id="6"/>
      <w:r>
        <w:rPr>
          <w:rStyle w:val="regulartext1"/>
          <w:rFonts w:ascii="Times New Roman" w:hAnsi="Times New Roman" w:cs="Times New Roman"/>
        </w:rPr>
        <w:t xml:space="preserve">. </w:t>
      </w:r>
      <w:r w:rsidRPr="0051773C">
        <w:rPr>
          <w:rStyle w:val="regulartext1"/>
          <w:rFonts w:ascii="Times New Roman" w:hAnsi="Times New Roman" w:cs="Times New Roman"/>
        </w:rPr>
        <w:t xml:space="preserve">The DCC will </w:t>
      </w:r>
      <w:r>
        <w:rPr>
          <w:rStyle w:val="regulartext1"/>
          <w:rFonts w:ascii="Times New Roman" w:hAnsi="Times New Roman" w:cs="Times New Roman"/>
        </w:rPr>
        <w:t>coordinate submission of</w:t>
      </w:r>
      <w:r w:rsidRPr="0051773C">
        <w:rPr>
          <w:rStyle w:val="regulartext1"/>
          <w:rFonts w:ascii="Times New Roman" w:hAnsi="Times New Roman" w:cs="Times New Roman"/>
        </w:rPr>
        <w:t xml:space="preserve"> all files on behalf of the data producers.  </w:t>
      </w:r>
    </w:p>
    <w:p w14:paraId="358A7DCF" w14:textId="77777777" w:rsidR="00D004B2" w:rsidRDefault="00D004B2" w:rsidP="00D004B2">
      <w:pPr>
        <w:numPr>
          <w:ilvl w:val="0"/>
          <w:numId w:val="2"/>
        </w:numPr>
        <w:spacing w:after="120"/>
        <w:rPr>
          <w:rStyle w:val="regulartext1"/>
        </w:rPr>
      </w:pPr>
      <w:r>
        <w:rPr>
          <w:rStyle w:val="regulartext1"/>
          <w:rFonts w:ascii="Times New Roman" w:hAnsi="Times New Roman" w:cs="Times New Roman"/>
        </w:rPr>
        <w:t xml:space="preserve">Periodically, the Consortium will provide a complete </w:t>
      </w:r>
      <w:r w:rsidRPr="007F7534">
        <w:rPr>
          <w:rStyle w:val="regulartext1"/>
          <w:rFonts w:ascii="Times New Roman" w:hAnsi="Times New Roman" w:cs="Times New Roman"/>
        </w:rPr>
        <w:t>Environmental Exposure Epigenome Atlas</w:t>
      </w:r>
      <w:r>
        <w:rPr>
          <w:rStyle w:val="regulartext1"/>
          <w:rFonts w:ascii="Times New Roman" w:hAnsi="Times New Roman" w:cs="Times New Roman"/>
        </w:rPr>
        <w:t xml:space="preserve"> linking the full set of submitted data files. Atlas releases will define the files comprising complete studies and will provide a </w:t>
      </w:r>
      <w:r w:rsidRPr="00E256E4">
        <w:rPr>
          <w:rStyle w:val="regulartext1"/>
          <w:rFonts w:ascii="Times New Roman" w:hAnsi="Times New Roman" w:cs="Times New Roman"/>
        </w:rPr>
        <w:t>comprehensive matrix of experiment</w:t>
      </w:r>
      <w:r>
        <w:rPr>
          <w:rStyle w:val="regulartext1"/>
          <w:rFonts w:ascii="Times New Roman" w:hAnsi="Times New Roman" w:cs="Times New Roman"/>
        </w:rPr>
        <w:t>al</w:t>
      </w:r>
      <w:r w:rsidRPr="00E256E4">
        <w:rPr>
          <w:rStyle w:val="regulartext1"/>
          <w:rFonts w:ascii="Times New Roman" w:hAnsi="Times New Roman" w:cs="Times New Roman"/>
        </w:rPr>
        <w:t xml:space="preserve"> results</w:t>
      </w:r>
      <w:r>
        <w:rPr>
          <w:rStyle w:val="regulartext1"/>
          <w:rFonts w:ascii="Times New Roman" w:hAnsi="Times New Roman" w:cs="Times New Roman"/>
        </w:rPr>
        <w:t xml:space="preserve"> along with </w:t>
      </w:r>
      <w:r w:rsidRPr="00E256E4">
        <w:rPr>
          <w:rStyle w:val="regulartext1"/>
          <w:rFonts w:ascii="Times New Roman" w:hAnsi="Times New Roman" w:cs="Times New Roman"/>
        </w:rPr>
        <w:t>complete</w:t>
      </w:r>
      <w:r>
        <w:rPr>
          <w:rStyle w:val="regulartext1"/>
          <w:rFonts w:ascii="Times New Roman" w:hAnsi="Times New Roman" w:cs="Times New Roman"/>
        </w:rPr>
        <w:t xml:space="preserve"> metadata and </w:t>
      </w:r>
      <w:r w:rsidRPr="00E256E4">
        <w:rPr>
          <w:rStyle w:val="regulartext1"/>
          <w:rFonts w:ascii="Times New Roman" w:hAnsi="Times New Roman" w:cs="Times New Roman"/>
        </w:rPr>
        <w:t xml:space="preserve">experimental </w:t>
      </w:r>
      <w:r>
        <w:rPr>
          <w:rStyle w:val="regulartext1"/>
          <w:rFonts w:ascii="Times New Roman" w:hAnsi="Times New Roman" w:cs="Times New Roman"/>
        </w:rPr>
        <w:t>descriptions. The SC will determine data freezes associated with Consortium Atlas releases.</w:t>
      </w:r>
    </w:p>
    <w:p w14:paraId="1D094844" w14:textId="77777777" w:rsidR="00D004B2" w:rsidRPr="00656060" w:rsidRDefault="00D004B2" w:rsidP="00D004B2">
      <w:pPr>
        <w:numPr>
          <w:ilvl w:val="0"/>
          <w:numId w:val="2"/>
        </w:numPr>
        <w:spacing w:after="120"/>
        <w:rPr>
          <w:rStyle w:val="regulartext1"/>
        </w:rPr>
      </w:pPr>
      <w:r>
        <w:rPr>
          <w:rStyle w:val="regulartext1"/>
          <w:rFonts w:ascii="Times New Roman" w:hAnsi="Times New Roman" w:cs="Times New Roman"/>
        </w:rPr>
        <w:t>The DCC will establish appropriate tools and infrastructure for organizing, promptly displaying, and releasing received data that conforms to agreed-upon data submission and display standards for each data type.</w:t>
      </w:r>
    </w:p>
    <w:p w14:paraId="60A61E97" w14:textId="6A0533F5" w:rsidR="00303C67" w:rsidRDefault="00303C67" w:rsidP="00D004B2">
      <w:pPr>
        <w:shd w:val="clear" w:color="auto" w:fill="FFFFFF"/>
        <w:spacing w:before="300" w:after="150"/>
        <w:outlineLvl w:val="3"/>
      </w:pPr>
    </w:p>
    <w:p w14:paraId="64A7349D" w14:textId="7D9A597A" w:rsidR="001D103A" w:rsidRPr="003D6459" w:rsidRDefault="001D103A" w:rsidP="00D004B2">
      <w:pPr>
        <w:shd w:val="clear" w:color="auto" w:fill="FFFFFF"/>
        <w:spacing w:before="300" w:after="150"/>
        <w:outlineLvl w:val="3"/>
      </w:pPr>
      <w:r>
        <w:rPr>
          <w:rStyle w:val="Emphasis"/>
          <w:rFonts w:ascii="Helvetica Neue" w:hAnsi="Helvetica Neue"/>
          <w:color w:val="000000"/>
          <w:sz w:val="21"/>
          <w:szCs w:val="21"/>
          <w:shd w:val="clear" w:color="auto" w:fill="FFFFFF"/>
        </w:rPr>
        <w:t>Updated March 5</w:t>
      </w:r>
      <w:r w:rsidRPr="00615FDB">
        <w:rPr>
          <w:rStyle w:val="Emphasis"/>
          <w:rFonts w:ascii="Helvetica Neue" w:hAnsi="Helvetica Neue"/>
          <w:color w:val="000000"/>
          <w:sz w:val="21"/>
          <w:szCs w:val="21"/>
          <w:shd w:val="clear" w:color="auto" w:fill="FFFFFF"/>
          <w:vertAlign w:val="superscript"/>
        </w:rPr>
        <w:t>th</w:t>
      </w:r>
      <w:r>
        <w:rPr>
          <w:rStyle w:val="Emphasis"/>
          <w:rFonts w:ascii="Helvetica Neue" w:hAnsi="Helvetica Neue"/>
          <w:color w:val="000000"/>
          <w:sz w:val="21"/>
          <w:szCs w:val="21"/>
          <w:shd w:val="clear" w:color="auto" w:fill="FFFFFF"/>
        </w:rPr>
        <w:t>, 2020</w:t>
      </w:r>
      <w:bookmarkStart w:id="7" w:name="_GoBack"/>
      <w:bookmarkEnd w:id="7"/>
    </w:p>
    <w:sectPr w:rsidR="001D103A" w:rsidRPr="003D6459" w:rsidSect="00C62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E02FD"/>
    <w:multiLevelType w:val="hybridMultilevel"/>
    <w:tmpl w:val="7D4A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C1E03"/>
    <w:multiLevelType w:val="multilevel"/>
    <w:tmpl w:val="26EA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59"/>
    <w:rsid w:val="001D103A"/>
    <w:rsid w:val="0022206F"/>
    <w:rsid w:val="00303C67"/>
    <w:rsid w:val="003D6459"/>
    <w:rsid w:val="008A7920"/>
    <w:rsid w:val="00925A9B"/>
    <w:rsid w:val="009A6237"/>
    <w:rsid w:val="00C62690"/>
    <w:rsid w:val="00D00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5414CC0"/>
  <w15:chartTrackingRefBased/>
  <w15:docId w15:val="{C6A31566-6E89-514D-9C19-DD94E339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4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D645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D645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645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D6459"/>
    <w:rPr>
      <w:rFonts w:ascii="Times New Roman" w:eastAsia="Times New Roman" w:hAnsi="Times New Roman" w:cs="Times New Roman"/>
      <w:b/>
      <w:bCs/>
    </w:rPr>
  </w:style>
  <w:style w:type="paragraph" w:styleId="NormalWeb">
    <w:name w:val="Normal (Web)"/>
    <w:basedOn w:val="Normal"/>
    <w:uiPriority w:val="99"/>
    <w:semiHidden/>
    <w:unhideWhenUsed/>
    <w:rsid w:val="003D645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D6459"/>
    <w:rPr>
      <w:color w:val="0000FF"/>
      <w:u w:val="single"/>
    </w:rPr>
  </w:style>
  <w:style w:type="character" w:styleId="Strong">
    <w:name w:val="Strong"/>
    <w:basedOn w:val="DefaultParagraphFont"/>
    <w:uiPriority w:val="22"/>
    <w:qFormat/>
    <w:rsid w:val="003D6459"/>
    <w:rPr>
      <w:b/>
      <w:bCs/>
    </w:rPr>
  </w:style>
  <w:style w:type="character" w:styleId="Emphasis">
    <w:name w:val="Emphasis"/>
    <w:basedOn w:val="DefaultParagraphFont"/>
    <w:uiPriority w:val="20"/>
    <w:qFormat/>
    <w:rsid w:val="003D6459"/>
    <w:rPr>
      <w:i/>
      <w:iCs/>
    </w:rPr>
  </w:style>
  <w:style w:type="character" w:customStyle="1" w:styleId="addtitle11">
    <w:name w:val="addtitle11"/>
    <w:basedOn w:val="DefaultParagraphFont"/>
    <w:rsid w:val="003D6459"/>
    <w:rPr>
      <w:rFonts w:ascii="Verdana" w:hAnsi="Verdana" w:hint="default"/>
      <w:b w:val="0"/>
      <w:bCs w:val="0"/>
      <w:sz w:val="38"/>
      <w:szCs w:val="38"/>
    </w:rPr>
  </w:style>
  <w:style w:type="character" w:customStyle="1" w:styleId="regulartext1">
    <w:name w:val="regulartext1"/>
    <w:basedOn w:val="DefaultParagraphFont"/>
    <w:rsid w:val="003D6459"/>
    <w:rPr>
      <w:rFonts w:ascii="Arial" w:hAnsi="Arial" w:cs="Arial" w:hint="default"/>
      <w:b w:val="0"/>
      <w:bCs w:val="0"/>
      <w:color w:val="000000"/>
      <w:sz w:val="24"/>
      <w:szCs w:val="24"/>
    </w:rPr>
  </w:style>
  <w:style w:type="paragraph" w:styleId="HTMLPreformatted">
    <w:name w:val="HTML Preformatted"/>
    <w:basedOn w:val="Normal"/>
    <w:link w:val="HTMLPreformattedChar"/>
    <w:rsid w:val="003D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en-US"/>
    </w:rPr>
  </w:style>
  <w:style w:type="character" w:customStyle="1" w:styleId="HTMLPreformattedChar">
    <w:name w:val="HTML Preformatted Char"/>
    <w:basedOn w:val="DefaultParagraphFont"/>
    <w:link w:val="HTMLPreformatted"/>
    <w:rsid w:val="003D6459"/>
    <w:rPr>
      <w:rFonts w:ascii="Courier New" w:eastAsia="Courier New" w:hAnsi="Courier New" w:cs="Times New Roman"/>
      <w:color w:val="000000"/>
      <w:sz w:val="20"/>
      <w:szCs w:val="20"/>
      <w:lang w:eastAsia="en-US"/>
    </w:rPr>
  </w:style>
  <w:style w:type="character" w:customStyle="1" w:styleId="Heading1Char">
    <w:name w:val="Heading 1 Char"/>
    <w:basedOn w:val="DefaultParagraphFont"/>
    <w:link w:val="Heading1"/>
    <w:uiPriority w:val="9"/>
    <w:rsid w:val="00D004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wanqing shao</dc:creator>
  <cp:keywords/>
  <dc:description/>
  <cp:lastModifiedBy>wanqing shao</cp:lastModifiedBy>
  <cp:revision>2</cp:revision>
  <dcterms:created xsi:type="dcterms:W3CDTF">2020-03-05T16:11:00Z</dcterms:created>
  <dcterms:modified xsi:type="dcterms:W3CDTF">2020-03-05T16:31:00Z</dcterms:modified>
</cp:coreProperties>
</file>